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DF" w:rsidRPr="007F5CDF" w:rsidRDefault="007F5CDF" w:rsidP="007F5CDF">
      <w:pPr>
        <w:pStyle w:val="a7"/>
        <w:shd w:val="clear" w:color="auto" w:fill="FFFFFF"/>
        <w:spacing w:beforeAutospacing="0" w:after="0" w:afterAutospacing="0"/>
        <w:ind w:firstLine="709"/>
        <w:jc w:val="center"/>
        <w:rPr>
          <w:b/>
          <w:color w:val="242B2D"/>
          <w:sz w:val="28"/>
          <w:szCs w:val="28"/>
        </w:rPr>
      </w:pPr>
      <w:r w:rsidRPr="007F5CDF">
        <w:rPr>
          <w:b/>
          <w:color w:val="242B2D"/>
          <w:sz w:val="28"/>
          <w:szCs w:val="28"/>
        </w:rPr>
        <w:t>Оружие - источник повышенной опасности.</w:t>
      </w:r>
    </w:p>
    <w:p w:rsidR="000654C0" w:rsidRDefault="009F2F54" w:rsidP="00EF3EE7">
      <w:pPr>
        <w:pStyle w:val="a7"/>
        <w:shd w:val="clear" w:color="auto" w:fill="FFFFFF"/>
        <w:spacing w:beforeAutospacing="0" w:after="0" w:afterAutospacing="0"/>
        <w:ind w:firstLine="709"/>
        <w:jc w:val="both"/>
      </w:pPr>
      <w:r>
        <w:rPr>
          <w:color w:val="242B2D"/>
          <w:sz w:val="18"/>
          <w:szCs w:val="18"/>
        </w:rPr>
        <w:t>Оружие - источник повышенной опасности. В связи с этим его приобретение и использование для граждан связано с рядом ограничений и находится под бдительным контролем правоохранительных органов.</w:t>
      </w:r>
      <w:r>
        <w:rPr>
          <w:color w:val="242B2D"/>
          <w:sz w:val="18"/>
          <w:szCs w:val="18"/>
        </w:rPr>
        <w:br/>
        <w:t xml:space="preserve">На постоянной основе сотрудниками отдела лицензионно-разрешительной работы </w:t>
      </w:r>
      <w:r>
        <w:rPr>
          <w:sz w:val="18"/>
          <w:szCs w:val="18"/>
        </w:rPr>
        <w:t>Управления Росгвардии по Алтайскому краю</w:t>
      </w:r>
      <w:r>
        <w:rPr>
          <w:sz w:val="28"/>
          <w:szCs w:val="28"/>
        </w:rPr>
        <w:t xml:space="preserve"> </w:t>
      </w:r>
      <w:r>
        <w:rPr>
          <w:color w:val="242B2D"/>
          <w:sz w:val="18"/>
          <w:szCs w:val="18"/>
        </w:rPr>
        <w:t>с участковыми уполномоченными полиции проводится профилактическая работа среди владельцев, проверяют соблюдение правил хранения и использования оружия, технического состояния оружия и патронов к нему, напоминают о сроках продления лицензий и разрешений.</w:t>
      </w:r>
    </w:p>
    <w:p w:rsidR="00EF3EE7" w:rsidRDefault="009F2F54" w:rsidP="00EF3EE7">
      <w:pPr>
        <w:pStyle w:val="a7"/>
        <w:shd w:val="clear" w:color="auto" w:fill="FFFFFF"/>
        <w:spacing w:beforeAutospacing="0" w:after="0" w:afterAutospacing="0"/>
        <w:ind w:firstLine="709"/>
        <w:jc w:val="both"/>
        <w:rPr>
          <w:color w:val="242B2D"/>
          <w:sz w:val="18"/>
          <w:szCs w:val="18"/>
        </w:rPr>
      </w:pPr>
      <w:r>
        <w:rPr>
          <w:color w:val="242B2D"/>
          <w:sz w:val="18"/>
          <w:szCs w:val="18"/>
        </w:rPr>
        <w:t xml:space="preserve">Не позднее, чем за месяц до истечения срока действия выданных лицензий и разрешений на оружие их владельцы представляют в орган внутренних дел заявления и документы, необходимые для продления соответствующих лицензий и разрешений. В случае нарушения установленных сроков перерегистрации (регистрации приобретенного оружия), гражданин может не только лишится права на получение лицензии, но и самого оружия, которое изымут сотрудники полиции, а также будет привлечен к административной ответственности и заплатит крупный штраф. </w:t>
      </w:r>
    </w:p>
    <w:p w:rsidR="00EF3EE7" w:rsidRDefault="009F2F54" w:rsidP="00EF3EE7">
      <w:pPr>
        <w:pStyle w:val="a7"/>
        <w:shd w:val="clear" w:color="auto" w:fill="FFFFFF"/>
        <w:spacing w:beforeAutospacing="0" w:after="0" w:afterAutospacing="0"/>
        <w:ind w:firstLine="709"/>
        <w:jc w:val="both"/>
        <w:rPr>
          <w:color w:val="242B2D"/>
          <w:sz w:val="18"/>
          <w:szCs w:val="18"/>
        </w:rPr>
      </w:pPr>
      <w:r>
        <w:rPr>
          <w:color w:val="242B2D"/>
          <w:sz w:val="18"/>
          <w:szCs w:val="18"/>
        </w:rPr>
        <w:t xml:space="preserve">Граждане обязаны хранить оружие и патроны по месту жительства в запирающихся на замок сейфах и исключить доступ к ним посторонних лиц, особенно детей. Сотрудники ОЛРР обращаются ко всем владельцам оружия с убедительной просьбой, строго соблюдать правила его хранения, ношения и использования. Гражданам, которые не являются собственниками огнестрельного оружия, оно ими найдено стоит помнить, что хранение этого оружия категорически запрещено. Оно подлежит немедленной сдаче в органы внутренних дел, в противном случае может наступить уголовная ответственность. </w:t>
      </w:r>
    </w:p>
    <w:p w:rsidR="00EF3EE7" w:rsidRDefault="009F2F54" w:rsidP="00EF3EE7">
      <w:pPr>
        <w:pStyle w:val="a7"/>
        <w:shd w:val="clear" w:color="auto" w:fill="FFFFFF"/>
        <w:spacing w:beforeAutospacing="0" w:after="0" w:afterAutospacing="0"/>
        <w:ind w:firstLine="709"/>
        <w:jc w:val="both"/>
        <w:rPr>
          <w:color w:val="242B2D"/>
          <w:sz w:val="18"/>
          <w:szCs w:val="18"/>
        </w:rPr>
      </w:pPr>
      <w:r>
        <w:rPr>
          <w:color w:val="242B2D"/>
          <w:sz w:val="18"/>
          <w:szCs w:val="18"/>
        </w:rPr>
        <w:t xml:space="preserve">Утрата и хищение гражданского оружия, как правило, происходит во время охоты или рыбалки по личной безответственности и халатности собственников оружия или при невыясненных обстоятельствах, когда владелец оружия сам не может вспомнить, где и как мог его потерять, находясь в состоянии алкогольного опьянения. Необходимо помнить: употребление спиртного и ношение оружия - несовместимы. Владельцам следует более ответственно подходить к проблеме хранения и ношения оружия, не брать его на мероприятия с массовым участием людей, особенно если предстоит употреблять алкоголь. По проведённому анализу утрат оружия владельцами установлено, что большинство фактов утрат оружия происходит в период охоты, т.е. во время нахождения охотника с оружием на водоёме, </w:t>
      </w:r>
      <w:proofErr w:type="gramStart"/>
      <w:r>
        <w:rPr>
          <w:color w:val="242B2D"/>
          <w:sz w:val="18"/>
          <w:szCs w:val="18"/>
        </w:rPr>
        <w:t>на</w:t>
      </w:r>
      <w:proofErr w:type="gramEnd"/>
      <w:r>
        <w:rPr>
          <w:color w:val="242B2D"/>
          <w:sz w:val="18"/>
          <w:szCs w:val="18"/>
        </w:rPr>
        <w:t xml:space="preserve"> </w:t>
      </w:r>
      <w:proofErr w:type="gramStart"/>
      <w:r>
        <w:rPr>
          <w:color w:val="242B2D"/>
          <w:sz w:val="18"/>
          <w:szCs w:val="18"/>
        </w:rPr>
        <w:t>различного</w:t>
      </w:r>
      <w:proofErr w:type="gramEnd"/>
      <w:r>
        <w:rPr>
          <w:color w:val="242B2D"/>
          <w:sz w:val="18"/>
          <w:szCs w:val="18"/>
        </w:rPr>
        <w:t xml:space="preserve"> вида лодках. Хотелось бы напомнить владельцам оружия, что при передвижении по воде необходимо предотвратить случайную утрату оружия путем фиксации (закрепления) оружия к плавательному средству. Имели место и факты злоупотребления охотниками на охоте спиртными напитками и оставления оружия и патронов без присмотра под деревом или в каком-нибудь сарае, в результате — хищение оружия и патронов, которое может привести к тяжким последствиям. </w:t>
      </w:r>
      <w:proofErr w:type="gramStart"/>
      <w:r>
        <w:rPr>
          <w:color w:val="242B2D"/>
          <w:sz w:val="18"/>
          <w:szCs w:val="18"/>
        </w:rPr>
        <w:t>Согласно требований</w:t>
      </w:r>
      <w:proofErr w:type="gramEnd"/>
      <w:r>
        <w:rPr>
          <w:color w:val="242B2D"/>
          <w:sz w:val="18"/>
          <w:szCs w:val="18"/>
        </w:rPr>
        <w:t xml:space="preserve"> ФЗ-150 «Об оружии» гражданское оружие должно храниться в условиях, обеспечивающих его сохранность, безопасность хранения и исключающих доступ к нему посторонних лиц. Наиболее распространены случаи хищения оружия из автотранспортных средств, во время оставления оружия его владельцами в салонах автомашин, гаражах, сараях, что категорически запрещается делать, а также из квартир, домов, при несоблюдении условий хранения оружия. Короткоствольное, бесствольное оружие самообороны должно </w:t>
      </w:r>
      <w:proofErr w:type="gramStart"/>
      <w:r>
        <w:rPr>
          <w:color w:val="242B2D"/>
          <w:sz w:val="18"/>
          <w:szCs w:val="18"/>
        </w:rPr>
        <w:t>носится</w:t>
      </w:r>
      <w:proofErr w:type="gramEnd"/>
      <w:r>
        <w:rPr>
          <w:color w:val="242B2D"/>
          <w:sz w:val="18"/>
          <w:szCs w:val="18"/>
        </w:rPr>
        <w:t xml:space="preserve"> в специальных </w:t>
      </w:r>
      <w:proofErr w:type="spellStart"/>
      <w:r>
        <w:rPr>
          <w:color w:val="242B2D"/>
          <w:sz w:val="18"/>
          <w:szCs w:val="18"/>
        </w:rPr>
        <w:t>кабурах</w:t>
      </w:r>
      <w:proofErr w:type="spellEnd"/>
      <w:r>
        <w:rPr>
          <w:color w:val="242B2D"/>
          <w:sz w:val="18"/>
          <w:szCs w:val="18"/>
        </w:rPr>
        <w:t xml:space="preserve">, с ремешком безопасности, но часто владельцы оружия самообороны носят его в карманах верхней одежды, в сумках, пакетах, за поясом, что и приводит к утере, либо хищению. Как правило, в преступную среду оружие поступает из-за халатности владельцев, не обеспечивших должное хранение, ношение принадлежащего им оружия. За допущенные владельцем оружия нарушения правил хранения, ношения оружия предусмотрена административная ответственность в соответствии с положением части 4 ст. 20.8 КоАП РФ, согласно которой предусмотрен штраф в размере до 2 000 рублей либо лишение права на приобретение и хранение или хранение и ношение оружия. Владелец также может нести и уголовную ответственность, предусмотренную ст. 224 УК РФ «Небрежное хранение огнестрельного оружия». Небрежное хранение огнестрельного оружия, создавшее условия для его использования другим лицом, если это повлекло тяжкие последствия, наказывается штрафом в размере </w:t>
      </w:r>
      <w:proofErr w:type="gramStart"/>
      <w:r>
        <w:rPr>
          <w:color w:val="242B2D"/>
          <w:sz w:val="18"/>
          <w:szCs w:val="18"/>
        </w:rPr>
        <w:t>до</w:t>
      </w:r>
      <w:proofErr w:type="gramEnd"/>
      <w:r>
        <w:rPr>
          <w:color w:val="242B2D"/>
          <w:sz w:val="18"/>
          <w:szCs w:val="18"/>
        </w:rPr>
        <w:t xml:space="preserve"> </w:t>
      </w:r>
      <w:proofErr w:type="gramStart"/>
      <w:r>
        <w:rPr>
          <w:color w:val="242B2D"/>
          <w:sz w:val="18"/>
          <w:szCs w:val="18"/>
        </w:rPr>
        <w:t>сорока</w:t>
      </w:r>
      <w:proofErr w:type="gramEnd"/>
      <w:r>
        <w:rPr>
          <w:color w:val="242B2D"/>
          <w:sz w:val="18"/>
          <w:szCs w:val="18"/>
        </w:rPr>
        <w:t xml:space="preserve">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w:t>
      </w:r>
    </w:p>
    <w:p w:rsidR="007F5CDF" w:rsidRDefault="009F2F54" w:rsidP="00EF3EE7">
      <w:pPr>
        <w:pStyle w:val="a7"/>
        <w:shd w:val="clear" w:color="auto" w:fill="FFFFFF"/>
        <w:spacing w:beforeAutospacing="0" w:after="0" w:afterAutospacing="0"/>
        <w:ind w:firstLine="709"/>
        <w:jc w:val="both"/>
        <w:rPr>
          <w:color w:val="242B2D"/>
          <w:sz w:val="18"/>
          <w:szCs w:val="18"/>
        </w:rPr>
      </w:pPr>
      <w:r>
        <w:rPr>
          <w:color w:val="242B2D"/>
          <w:sz w:val="18"/>
          <w:szCs w:val="18"/>
        </w:rPr>
        <w:t>В случае утраты оружия необходимо сделать следующее. Первое: своевременно обратиться с сообщением об утрате в любой ОВД (это можно сделать лично, нарочным, по почте, по телефону, телеграфу, факсимильным или иным видом связи). Как показывает практика, лучше обратиться в ОВД по месту утраты оружия лично, это позволит вам сразу дать необходимое письменное объяснение по обстоятельствам утраты и сэкономит время на пересылку обращения по территориальности в данное ОВД. Своевременность обращения обусловлена необходимостью скорейшего принятия мер к розыску оружия с целью предупреждения его использования при совершении преступлений. Второе. Явиться в подразделение лицензионно-разрешительной работы, в котором зарегистрировано утраченное оружие. Это необходимо сделать с целью уведомления о подаче сообщения о происшествии в ОВД, последующей постановки оружия на централизованный учёт как утраченного (похищенного) и аннулирования разрешения на утраченное оружие.</w:t>
      </w:r>
      <w:r w:rsidR="00EF3EE7">
        <w:rPr>
          <w:color w:val="242B2D"/>
          <w:sz w:val="18"/>
          <w:szCs w:val="18"/>
        </w:rPr>
        <w:t xml:space="preserve"> </w:t>
      </w:r>
    </w:p>
    <w:p w:rsidR="007F5CDF" w:rsidRDefault="009F2F54" w:rsidP="00EF3EE7">
      <w:pPr>
        <w:pStyle w:val="a7"/>
        <w:shd w:val="clear" w:color="auto" w:fill="FFFFFF"/>
        <w:spacing w:beforeAutospacing="0" w:after="0" w:afterAutospacing="0"/>
        <w:ind w:firstLine="709"/>
        <w:jc w:val="both"/>
        <w:rPr>
          <w:color w:val="242B2D"/>
          <w:sz w:val="18"/>
          <w:szCs w:val="18"/>
        </w:rPr>
      </w:pPr>
      <w:r>
        <w:rPr>
          <w:color w:val="242B2D"/>
          <w:sz w:val="18"/>
          <w:szCs w:val="18"/>
        </w:rPr>
        <w:t>Убедительная просьба ко всем владельцам оружия, независимо газовое, гладкоствольное или нарезное это оружие: относитесь к сохранности оружия и патронов серьёзнее, не оставляйте оружие и патроны без присмотра, не передавайте их другим лицам. Находясь в охотничьих угодьях, на водоёме, обеспечивайте сохранность оружия и патронов, исключите доступ к оружию посторонних лиц. Не направляйте оружие на людей либо в сторону возможного их появления, даже если оно не заряжено. Обращайтесь с оружием так, как будто оно всегда заряжено и готово к выстрелу. Не злоупотребляйте на охоте спиртными напитками. Перед тем, как спустить лодку на воду, привяжите к оружию маячок или поплавок. По возвращении домой с охоты в первую очередь закройте оружие и патроны в сейф. Не храните ключи от сейфа с оружием в местах, доступных для посторонних лиц и даже близких родственников. Транспортирование принадлежащего гражданам оружия осуществляется в чехлах, кобурах или специальных футлярах. В целях недопущения краж, хищений оружия сотрудники Росгвардии рекомендуют владельцам оружия, места хранения оружия и боеприпасов оборудовать инженерно-техническими средствами охраны с подключением на пульт централизованной охраны.</w:t>
      </w:r>
      <w:r w:rsidR="00EF3EE7">
        <w:rPr>
          <w:color w:val="242B2D"/>
          <w:sz w:val="18"/>
          <w:szCs w:val="18"/>
        </w:rPr>
        <w:t xml:space="preserve"> </w:t>
      </w:r>
    </w:p>
    <w:p w:rsidR="000654C0" w:rsidRPr="007F5CDF" w:rsidRDefault="009F2F54" w:rsidP="00EF3EE7">
      <w:pPr>
        <w:pStyle w:val="a7"/>
        <w:shd w:val="clear" w:color="auto" w:fill="FFFFFF"/>
        <w:spacing w:beforeAutospacing="0" w:after="0" w:afterAutospacing="0"/>
        <w:ind w:firstLine="709"/>
        <w:jc w:val="both"/>
        <w:rPr>
          <w:b/>
        </w:rPr>
      </w:pPr>
      <w:r w:rsidRPr="007F5CDF">
        <w:rPr>
          <w:b/>
          <w:color w:val="242B2D"/>
          <w:sz w:val="18"/>
          <w:szCs w:val="18"/>
        </w:rPr>
        <w:t xml:space="preserve">Напоследок хочется дать совет: прежде чем приобретать оружие, проанализируйте все виды оружия, обстоятельства, связанные с его покупкой и хранением. </w:t>
      </w:r>
    </w:p>
    <w:p w:rsidR="007F5CDF" w:rsidRPr="00D126A8" w:rsidRDefault="00D126A8" w:rsidP="007F5CDF">
      <w:pPr>
        <w:pStyle w:val="1"/>
        <w:tabs>
          <w:tab w:val="left" w:pos="567"/>
        </w:tabs>
        <w:ind w:firstLine="0"/>
        <w:rPr>
          <w:sz w:val="18"/>
          <w:szCs w:val="18"/>
        </w:rPr>
      </w:pPr>
      <w:r>
        <w:rPr>
          <w:sz w:val="20"/>
          <w:szCs w:val="20"/>
        </w:rPr>
        <w:t xml:space="preserve">              </w:t>
      </w:r>
      <w:r w:rsidR="007F5CDF" w:rsidRPr="00D126A8">
        <w:rPr>
          <w:sz w:val="18"/>
          <w:szCs w:val="18"/>
        </w:rPr>
        <w:t xml:space="preserve">Старший инспектор ОЛРР (по городу Славгороду, </w:t>
      </w:r>
      <w:proofErr w:type="gramStart"/>
      <w:r w:rsidR="007F5CDF" w:rsidRPr="00D126A8">
        <w:rPr>
          <w:sz w:val="18"/>
          <w:szCs w:val="18"/>
        </w:rPr>
        <w:t>Яровое</w:t>
      </w:r>
      <w:proofErr w:type="gramEnd"/>
      <w:r w:rsidR="007F5CDF" w:rsidRPr="00D126A8">
        <w:rPr>
          <w:sz w:val="18"/>
          <w:szCs w:val="18"/>
        </w:rPr>
        <w:t xml:space="preserve">, Бурлинскому, Немецкому национальному, </w:t>
      </w:r>
      <w:proofErr w:type="spellStart"/>
      <w:r w:rsidR="007F5CDF" w:rsidRPr="00D126A8">
        <w:rPr>
          <w:sz w:val="18"/>
          <w:szCs w:val="18"/>
        </w:rPr>
        <w:t>Панкрушихинскому</w:t>
      </w:r>
      <w:proofErr w:type="spellEnd"/>
      <w:r w:rsidR="007F5CDF" w:rsidRPr="00D126A8">
        <w:rPr>
          <w:sz w:val="18"/>
          <w:szCs w:val="18"/>
        </w:rPr>
        <w:t xml:space="preserve">, </w:t>
      </w:r>
      <w:proofErr w:type="spellStart"/>
      <w:r w:rsidR="007F5CDF" w:rsidRPr="00D126A8">
        <w:rPr>
          <w:sz w:val="18"/>
          <w:szCs w:val="18"/>
        </w:rPr>
        <w:t>Славгородскому</w:t>
      </w:r>
      <w:proofErr w:type="spellEnd"/>
      <w:r w:rsidR="007F5CDF" w:rsidRPr="00D126A8">
        <w:rPr>
          <w:sz w:val="18"/>
          <w:szCs w:val="18"/>
        </w:rPr>
        <w:t xml:space="preserve"> и </w:t>
      </w:r>
      <w:proofErr w:type="spellStart"/>
      <w:r w:rsidR="007F5CDF" w:rsidRPr="00D126A8">
        <w:rPr>
          <w:sz w:val="18"/>
          <w:szCs w:val="18"/>
        </w:rPr>
        <w:t>Хабарскому</w:t>
      </w:r>
      <w:proofErr w:type="spellEnd"/>
      <w:r w:rsidR="007F5CDF" w:rsidRPr="00D126A8">
        <w:rPr>
          <w:sz w:val="18"/>
          <w:szCs w:val="18"/>
        </w:rPr>
        <w:t xml:space="preserve"> районам) Управления Росгвардии по Алтайскому краю </w:t>
      </w:r>
    </w:p>
    <w:p w:rsidR="007F5CDF" w:rsidRPr="00D126A8" w:rsidRDefault="007F5CDF" w:rsidP="007F5CDF">
      <w:pPr>
        <w:tabs>
          <w:tab w:val="left" w:pos="4253"/>
          <w:tab w:val="left" w:pos="4536"/>
        </w:tabs>
        <w:jc w:val="both"/>
        <w:rPr>
          <w:rFonts w:ascii="Times New Roman" w:hAnsi="Times New Roman" w:cs="Times New Roman"/>
          <w:sz w:val="18"/>
          <w:szCs w:val="18"/>
        </w:rPr>
      </w:pPr>
      <w:r w:rsidRPr="00D126A8">
        <w:rPr>
          <w:rFonts w:ascii="Times New Roman" w:hAnsi="Times New Roman" w:cs="Times New Roman"/>
          <w:sz w:val="18"/>
          <w:szCs w:val="18"/>
        </w:rPr>
        <w:t xml:space="preserve">капитан полиции                                                                                                                    </w:t>
      </w:r>
      <w:r w:rsidR="00D126A8">
        <w:rPr>
          <w:rFonts w:ascii="Times New Roman" w:hAnsi="Times New Roman" w:cs="Times New Roman"/>
          <w:sz w:val="18"/>
          <w:szCs w:val="18"/>
        </w:rPr>
        <w:t xml:space="preserve">                 </w:t>
      </w:r>
      <w:r w:rsidRPr="00D126A8">
        <w:rPr>
          <w:rFonts w:ascii="Times New Roman" w:hAnsi="Times New Roman" w:cs="Times New Roman"/>
          <w:sz w:val="18"/>
          <w:szCs w:val="18"/>
        </w:rPr>
        <w:t xml:space="preserve">                            А.Н. Грушевский</w:t>
      </w:r>
    </w:p>
    <w:p w:rsidR="000654C0" w:rsidRDefault="000654C0">
      <w:pPr>
        <w:pStyle w:val="a7"/>
        <w:shd w:val="clear" w:color="auto" w:fill="FFFFFF"/>
        <w:spacing w:before="180" w:beforeAutospacing="0" w:after="180" w:afterAutospacing="0"/>
        <w:ind w:firstLine="708"/>
        <w:jc w:val="both"/>
        <w:rPr>
          <w:color w:val="242B2D"/>
          <w:sz w:val="18"/>
          <w:szCs w:val="18"/>
        </w:rPr>
      </w:pPr>
    </w:p>
    <w:p w:rsidR="000654C0" w:rsidRDefault="000654C0">
      <w:pPr>
        <w:pStyle w:val="a7"/>
        <w:shd w:val="clear" w:color="auto" w:fill="FFFFFF"/>
        <w:spacing w:before="180" w:beforeAutospacing="0" w:after="180" w:afterAutospacing="0"/>
        <w:ind w:firstLine="708"/>
        <w:jc w:val="both"/>
        <w:rPr>
          <w:color w:val="242B2D"/>
          <w:sz w:val="18"/>
          <w:szCs w:val="18"/>
        </w:rPr>
      </w:pPr>
    </w:p>
    <w:sectPr w:rsidR="000654C0" w:rsidSect="000654C0">
      <w:headerReference w:type="default" r:id="rId6"/>
      <w:pgSz w:w="11906" w:h="16838"/>
      <w:pgMar w:top="1119" w:right="567" w:bottom="567" w:left="1134" w:header="567"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EA1" w:rsidRDefault="008D7EA1" w:rsidP="000654C0">
      <w:pPr>
        <w:spacing w:after="0" w:line="240" w:lineRule="auto"/>
      </w:pPr>
      <w:r>
        <w:separator/>
      </w:r>
    </w:p>
  </w:endnote>
  <w:endnote w:type="continuationSeparator" w:id="0">
    <w:p w:rsidR="008D7EA1" w:rsidRDefault="008D7EA1" w:rsidP="00065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EA1" w:rsidRDefault="008D7EA1" w:rsidP="000654C0">
      <w:pPr>
        <w:spacing w:after="0" w:line="240" w:lineRule="auto"/>
      </w:pPr>
      <w:r>
        <w:separator/>
      </w:r>
    </w:p>
  </w:footnote>
  <w:footnote w:type="continuationSeparator" w:id="0">
    <w:p w:rsidR="008D7EA1" w:rsidRDefault="008D7EA1" w:rsidP="000654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C0" w:rsidRDefault="000654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654C0"/>
    <w:rsid w:val="00052656"/>
    <w:rsid w:val="000654C0"/>
    <w:rsid w:val="007F5CDF"/>
    <w:rsid w:val="008D7EA1"/>
    <w:rsid w:val="009F2F54"/>
    <w:rsid w:val="00D126A8"/>
    <w:rsid w:val="00E33013"/>
    <w:rsid w:val="00EC7D27"/>
    <w:rsid w:val="00EF3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4C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0654C0"/>
    <w:pPr>
      <w:keepNext/>
      <w:spacing w:before="240" w:after="120"/>
    </w:pPr>
    <w:rPr>
      <w:rFonts w:ascii="PT Astra Serif" w:eastAsia="Tahoma" w:hAnsi="PT Astra Serif" w:cs="Noto Sans Devanagari"/>
      <w:sz w:val="28"/>
      <w:szCs w:val="28"/>
    </w:rPr>
  </w:style>
  <w:style w:type="paragraph" w:styleId="a4">
    <w:name w:val="Body Text"/>
    <w:basedOn w:val="a"/>
    <w:rsid w:val="000654C0"/>
    <w:pPr>
      <w:spacing w:after="140"/>
    </w:pPr>
  </w:style>
  <w:style w:type="paragraph" w:styleId="a5">
    <w:name w:val="List"/>
    <w:basedOn w:val="a4"/>
    <w:rsid w:val="000654C0"/>
    <w:rPr>
      <w:rFonts w:ascii="PT Astra Serif" w:hAnsi="PT Astra Serif" w:cs="Noto Sans Devanagari"/>
    </w:rPr>
  </w:style>
  <w:style w:type="paragraph" w:customStyle="1" w:styleId="Caption">
    <w:name w:val="Caption"/>
    <w:basedOn w:val="a"/>
    <w:qFormat/>
    <w:rsid w:val="000654C0"/>
    <w:pPr>
      <w:suppressLineNumbers/>
      <w:spacing w:before="120" w:after="120"/>
    </w:pPr>
    <w:rPr>
      <w:rFonts w:ascii="PT Astra Serif" w:hAnsi="PT Astra Serif" w:cs="Noto Sans Devanagari"/>
      <w:i/>
      <w:iCs/>
      <w:sz w:val="24"/>
      <w:szCs w:val="24"/>
    </w:rPr>
  </w:style>
  <w:style w:type="paragraph" w:styleId="a6">
    <w:name w:val="index heading"/>
    <w:basedOn w:val="a"/>
    <w:qFormat/>
    <w:rsid w:val="000654C0"/>
    <w:pPr>
      <w:suppressLineNumbers/>
    </w:pPr>
    <w:rPr>
      <w:rFonts w:ascii="PT Astra Serif" w:hAnsi="PT Astra Serif" w:cs="Noto Sans Devanagari"/>
    </w:rPr>
  </w:style>
  <w:style w:type="paragraph" w:styleId="a7">
    <w:name w:val="Normal (Web)"/>
    <w:basedOn w:val="a"/>
    <w:uiPriority w:val="99"/>
    <w:semiHidden/>
    <w:unhideWhenUsed/>
    <w:qFormat/>
    <w:rsid w:val="00F332F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0654C0"/>
    <w:pPr>
      <w:suppressLineNumbers/>
      <w:tabs>
        <w:tab w:val="center" w:pos="4677"/>
        <w:tab w:val="right" w:pos="9355"/>
      </w:tabs>
    </w:pPr>
  </w:style>
  <w:style w:type="table" w:styleId="a8">
    <w:name w:val="Table Grid"/>
    <w:basedOn w:val="a1"/>
    <w:uiPriority w:val="59"/>
    <w:rsid w:val="001F7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сновной текст с отступом1"/>
    <w:basedOn w:val="a"/>
    <w:rsid w:val="007F5CDF"/>
    <w:pPr>
      <w:spacing w:after="0" w:line="240" w:lineRule="auto"/>
      <w:ind w:firstLine="720"/>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1104</Words>
  <Characters>6296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2021-02-08T15:00:00Z</cp:lastPrinted>
  <dcterms:created xsi:type="dcterms:W3CDTF">2021-02-24T09:07:00Z</dcterms:created>
  <dcterms:modified xsi:type="dcterms:W3CDTF">2021-02-24T09:39:00Z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